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 w:cs="Times New Roman"/>
          <w:color w:val="auto"/>
          <w:sz w:val="44"/>
          <w:szCs w:val="32"/>
        </w:rPr>
        <w:t>疑似失学儿童核查结果分类统计标准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各地逐一对疑似失学儿童核查后，根据儿童现状采用以下对应标准分类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A.户籍原因（含查无此人，户籍重复、死亡，迁出注销等情形）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B.在校有学籍（2018年5月比对时间节点后新入学或新注册学籍）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C.省内就读无学籍（已在省内学校学习但因各种原因未注册学籍）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D.省外就读无学籍（已在省外学校学习但因各种原因未注册学籍）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E.延缓入学（含因身体等原因延缓入学、目前仍在幼儿园就读或实际年龄不足6周岁等情形）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F.超龄离校（实际年龄超过15周岁或已毕业）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G.失踪失联（由公安部门界定，从严掌握）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H.出国在外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1.因病因残（因重大疾病或残疾无法正常入学）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J.入寺入教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K.打工务农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L.在家上学（含私塾、国学班等情形）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587" w:bottom="1814" w:left="1587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M.其他原因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afterLines="0" w:line="240" w:lineRule="auto"/>
      <w:ind w:left="315" w:leftChars="150" w:right="315" w:rightChars="150" w:firstLine="0" w:firstLineChars="0"/>
      <w:jc w:val="both"/>
      <w:textAlignment w:val="auto"/>
      <w:outlineLvl w:val="9"/>
      <w:rPr>
        <w:sz w:val="28"/>
      </w:rPr>
    </w:pPr>
    <w:r>
      <w:rPr>
        <w:rStyle w:val="6"/>
        <w:rFonts w:hint="eastAsia" w:ascii="宋体" w:hAnsi="宋体" w:cs="宋体"/>
        <w:sz w:val="28"/>
        <w:szCs w:val="28"/>
        <w:lang w:eastAsia="zh-CN"/>
      </w:rPr>
      <w:t>—</w:t>
    </w:r>
    <w:r>
      <w:rPr>
        <w:rStyle w:val="6"/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 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  <w:lang w:val="en-US" w:eastAsia="zh-CN"/>
      </w:rPr>
      <w:t xml:space="preserve"> </w:t>
    </w:r>
    <w:r>
      <w:rPr>
        <w:rStyle w:val="6"/>
        <w:rFonts w:hint="eastAsia" w:ascii="宋体" w:hAnsi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35726"/>
    <w:rsid w:val="3ED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customStyle="1" w:styleId="5">
    <w:name w:val="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2019-03-05T01:25:00Z</dcterms:created>
  <dc:creator>Administrator</dc:creator>
  <cp:lastModifiedBy>Administrator</cp:lastModifiedBy>
  <dcterms:modified xsi:type="dcterms:W3CDTF">2019-03-05T01:26:30Z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