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520" w:lineRule="exact"/>
        <w:textAlignment w:val="auto"/>
      </w:pPr>
      <w:bookmarkStart w:id="0" w:name="_GoBack"/>
      <w:bookmarkEnd w:id="0"/>
      <w:r>
        <w:rPr>
          <w:rFonts w:hint="eastAsia"/>
        </w:rPr>
        <w:t>预警</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预警</w:t>
      </w:r>
    </w:p>
    <w:p>
      <w:pPr>
        <w:pageBreakBefore w:val="0"/>
        <w:widowControl w:val="0"/>
        <w:kinsoku/>
        <w:wordWrap/>
        <w:overflowPunct/>
        <w:topLinePunct w:val="0"/>
        <w:autoSpaceDE/>
        <w:autoSpaceDN/>
        <w:bidi w:val="0"/>
        <w:adjustRightInd/>
        <w:snapToGrid/>
        <w:spacing w:line="520" w:lineRule="exact"/>
        <w:ind w:firstLine="560"/>
        <w:textAlignment w:val="auto"/>
        <w:rPr>
          <w:rFonts w:ascii="宋体" w:hAnsi="宋体" w:cs="宋体"/>
          <w:sz w:val="28"/>
          <w:szCs w:val="28"/>
        </w:rPr>
      </w:pPr>
      <w:r>
        <w:rPr>
          <w:rFonts w:hint="eastAsia" w:ascii="宋体" w:hAnsi="宋体" w:cs="宋体"/>
          <w:sz w:val="28"/>
          <w:szCs w:val="28"/>
        </w:rPr>
        <w:t>1、预警指标确定</w:t>
      </w:r>
    </w:p>
    <w:p>
      <w:pPr>
        <w:pageBreakBefore w:val="0"/>
        <w:widowControl w:val="0"/>
        <w:kinsoku/>
        <w:wordWrap/>
        <w:overflowPunct/>
        <w:topLinePunct w:val="0"/>
        <w:autoSpaceDE/>
        <w:autoSpaceDN/>
        <w:bidi w:val="0"/>
        <w:adjustRightInd/>
        <w:snapToGrid/>
        <w:spacing w:line="520" w:lineRule="exact"/>
        <w:ind w:firstLine="560"/>
        <w:textAlignment w:val="auto"/>
        <w:rPr>
          <w:rFonts w:ascii="宋体" w:hAnsi="宋体" w:cs="宋体"/>
          <w:sz w:val="28"/>
          <w:szCs w:val="28"/>
        </w:rPr>
      </w:pPr>
      <w:r>
        <w:rPr>
          <w:rFonts w:hint="eastAsia" w:ascii="宋体" w:hAnsi="宋体" w:cs="宋体"/>
          <w:sz w:val="28"/>
          <w:szCs w:val="28"/>
        </w:rPr>
        <w:t>预警指标是指触发山洪灾害的雨、水量临界值，包括临界雨量和成灾水位（流量）的确定。预警指标分为暴雨预报、准备转移（警戒）和立即转移（危险）两级。</w:t>
      </w:r>
    </w:p>
    <w:p>
      <w:pPr>
        <w:pageBreakBefore w:val="0"/>
        <w:widowControl w:val="0"/>
        <w:kinsoku/>
        <w:wordWrap/>
        <w:overflowPunct/>
        <w:topLinePunct w:val="0"/>
        <w:autoSpaceDE/>
        <w:autoSpaceDN/>
        <w:bidi w:val="0"/>
        <w:adjustRightInd/>
        <w:snapToGrid/>
        <w:spacing w:line="520" w:lineRule="exact"/>
        <w:ind w:firstLine="560"/>
        <w:textAlignment w:val="auto"/>
        <w:rPr>
          <w:rFonts w:ascii="宋体" w:hAnsi="宋体" w:cs="宋体"/>
          <w:sz w:val="28"/>
          <w:szCs w:val="28"/>
        </w:rPr>
      </w:pPr>
      <w:r>
        <w:rPr>
          <w:rFonts w:hint="eastAsia" w:ascii="宋体" w:hAnsi="宋体" w:cs="宋体"/>
          <w:sz w:val="28"/>
          <w:szCs w:val="28"/>
        </w:rPr>
        <w:t>临界雨量的确定是通过调查历史山洪灾害发生时的降雨情况，根据各小流域的暴雨特性、地形地质条件等，结合历史暴雨洪水资料分析成果以及分布式水文模型计算成果，综合确定本地区各个小流域的1小时、3小时、6小时、24小时临界雨量。</w:t>
      </w:r>
    </w:p>
    <w:p>
      <w:pPr>
        <w:ind w:left="0" w:leftChars="0" w:firstLine="0" w:firstLineChars="0"/>
        <w:jc w:val="center"/>
        <w:rPr>
          <w:rFonts w:eastAsia="仿宋_GB2312"/>
          <w:b/>
          <w:bCs/>
          <w:sz w:val="28"/>
          <w:szCs w:val="28"/>
        </w:rPr>
      </w:pPr>
      <w:r>
        <w:rPr>
          <w:rFonts w:hint="eastAsia" w:eastAsia="仿宋_GB2312"/>
          <w:b/>
          <w:bCs/>
          <w:sz w:val="28"/>
          <w:szCs w:val="28"/>
        </w:rPr>
        <w:t>预警降雨量划分表</w:t>
      </w:r>
    </w:p>
    <w:tbl>
      <w:tblPr>
        <w:tblStyle w:val="6"/>
        <w:tblW w:w="87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17"/>
        <w:gridCol w:w="1363"/>
        <w:gridCol w:w="1437"/>
        <w:gridCol w:w="1263"/>
        <w:gridCol w:w="1300"/>
        <w:gridCol w:w="13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17" w:type="dxa"/>
            <w:vMerge w:val="restart"/>
            <w:vAlign w:val="center"/>
          </w:tcPr>
          <w:p>
            <w:pPr>
              <w:jc w:val="center"/>
              <w:rPr>
                <w:rFonts w:eastAsia="仿宋_GB2312"/>
                <w:kern w:val="0"/>
                <w:sz w:val="24"/>
                <w:szCs w:val="24"/>
              </w:rPr>
            </w:pPr>
            <w:r>
              <w:rPr>
                <w:rFonts w:eastAsia="仿宋_GB2312"/>
                <w:kern w:val="0"/>
                <w:sz w:val="24"/>
                <w:szCs w:val="24"/>
              </w:rPr>
              <w:t>预警等级</w:t>
            </w:r>
          </w:p>
        </w:tc>
        <w:tc>
          <w:tcPr>
            <w:tcW w:w="5363" w:type="dxa"/>
            <w:gridSpan w:val="4"/>
            <w:vAlign w:val="center"/>
          </w:tcPr>
          <w:p>
            <w:pPr>
              <w:jc w:val="center"/>
              <w:rPr>
                <w:rFonts w:eastAsia="仿宋_GB2312"/>
                <w:kern w:val="0"/>
                <w:sz w:val="24"/>
                <w:szCs w:val="24"/>
              </w:rPr>
            </w:pPr>
            <w:r>
              <w:rPr>
                <w:rFonts w:eastAsia="仿宋_GB2312"/>
                <w:kern w:val="0"/>
                <w:sz w:val="24"/>
                <w:szCs w:val="24"/>
              </w:rPr>
              <w:t>雨量（mm)</w:t>
            </w:r>
          </w:p>
        </w:tc>
        <w:tc>
          <w:tcPr>
            <w:tcW w:w="1337" w:type="dxa"/>
            <w:vMerge w:val="restart"/>
            <w:vAlign w:val="center"/>
          </w:tcPr>
          <w:p>
            <w:pPr>
              <w:jc w:val="center"/>
              <w:rPr>
                <w:rFonts w:eastAsia="仿宋_GB2312"/>
                <w:kern w:val="0"/>
                <w:sz w:val="24"/>
                <w:szCs w:val="24"/>
              </w:rPr>
            </w:pPr>
            <w:r>
              <w:rPr>
                <w:rFonts w:eastAsia="仿宋_GB2312"/>
                <w:kern w:val="0"/>
                <w:sz w:val="24"/>
                <w:szCs w:val="24"/>
              </w:rPr>
              <w:t>预警</w:t>
            </w:r>
          </w:p>
          <w:p>
            <w:pPr>
              <w:jc w:val="center"/>
              <w:rPr>
                <w:rFonts w:eastAsia="仿宋_GB2312"/>
                <w:kern w:val="0"/>
                <w:sz w:val="24"/>
                <w:szCs w:val="24"/>
              </w:rPr>
            </w:pPr>
            <w:r>
              <w:rPr>
                <w:rFonts w:eastAsia="仿宋_GB2312"/>
                <w:kern w:val="0"/>
                <w:sz w:val="24"/>
                <w:szCs w:val="24"/>
              </w:rPr>
              <w:t>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17" w:type="dxa"/>
            <w:vMerge w:val="continue"/>
            <w:vAlign w:val="center"/>
          </w:tcPr>
          <w:p>
            <w:pPr>
              <w:jc w:val="center"/>
              <w:rPr>
                <w:rFonts w:eastAsia="仿宋_GB2312"/>
                <w:kern w:val="0"/>
                <w:sz w:val="24"/>
                <w:szCs w:val="24"/>
              </w:rPr>
            </w:pPr>
          </w:p>
        </w:tc>
        <w:tc>
          <w:tcPr>
            <w:tcW w:w="1363" w:type="dxa"/>
            <w:vAlign w:val="center"/>
          </w:tcPr>
          <w:p>
            <w:pPr>
              <w:jc w:val="center"/>
              <w:rPr>
                <w:rFonts w:eastAsia="仿宋_GB2312"/>
                <w:kern w:val="0"/>
                <w:sz w:val="24"/>
                <w:szCs w:val="24"/>
              </w:rPr>
            </w:pPr>
            <w:r>
              <w:rPr>
                <w:rFonts w:eastAsia="仿宋_GB2312"/>
                <w:kern w:val="0"/>
                <w:sz w:val="24"/>
                <w:szCs w:val="24"/>
              </w:rPr>
              <w:t>1小时</w:t>
            </w:r>
          </w:p>
        </w:tc>
        <w:tc>
          <w:tcPr>
            <w:tcW w:w="1437" w:type="dxa"/>
            <w:vAlign w:val="center"/>
          </w:tcPr>
          <w:p>
            <w:pPr>
              <w:jc w:val="center"/>
              <w:rPr>
                <w:rFonts w:eastAsia="仿宋_GB2312"/>
                <w:kern w:val="0"/>
                <w:sz w:val="24"/>
                <w:szCs w:val="24"/>
              </w:rPr>
            </w:pPr>
            <w:r>
              <w:rPr>
                <w:rFonts w:eastAsia="仿宋_GB2312"/>
                <w:kern w:val="0"/>
                <w:sz w:val="24"/>
                <w:szCs w:val="24"/>
              </w:rPr>
              <w:t>3小时</w:t>
            </w:r>
          </w:p>
        </w:tc>
        <w:tc>
          <w:tcPr>
            <w:tcW w:w="1263" w:type="dxa"/>
            <w:vAlign w:val="center"/>
          </w:tcPr>
          <w:p>
            <w:pPr>
              <w:jc w:val="center"/>
              <w:rPr>
                <w:rFonts w:eastAsia="仿宋_GB2312"/>
                <w:kern w:val="0"/>
                <w:sz w:val="24"/>
                <w:szCs w:val="24"/>
              </w:rPr>
            </w:pPr>
            <w:r>
              <w:rPr>
                <w:rFonts w:eastAsia="仿宋_GB2312"/>
                <w:kern w:val="0"/>
                <w:sz w:val="24"/>
                <w:szCs w:val="24"/>
              </w:rPr>
              <w:t>6小时</w:t>
            </w:r>
          </w:p>
        </w:tc>
        <w:tc>
          <w:tcPr>
            <w:tcW w:w="1300" w:type="dxa"/>
            <w:vAlign w:val="center"/>
          </w:tcPr>
          <w:p>
            <w:pPr>
              <w:jc w:val="center"/>
              <w:rPr>
                <w:rFonts w:eastAsia="仿宋_GB2312"/>
                <w:kern w:val="0"/>
                <w:sz w:val="24"/>
                <w:szCs w:val="24"/>
              </w:rPr>
            </w:pPr>
            <w:r>
              <w:rPr>
                <w:rFonts w:eastAsia="仿宋_GB2312"/>
                <w:kern w:val="0"/>
                <w:sz w:val="24"/>
                <w:szCs w:val="24"/>
              </w:rPr>
              <w:t>24小时</w:t>
            </w:r>
          </w:p>
        </w:tc>
        <w:tc>
          <w:tcPr>
            <w:tcW w:w="1337" w:type="dxa"/>
            <w:vMerge w:val="continue"/>
            <w:vAlign w:val="center"/>
          </w:tcPr>
          <w:p>
            <w:pPr>
              <w:jc w:val="center"/>
              <w:rPr>
                <w:rFonts w:eastAsia="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17" w:type="dxa"/>
            <w:vAlign w:val="center"/>
          </w:tcPr>
          <w:p>
            <w:pPr>
              <w:jc w:val="center"/>
              <w:rPr>
                <w:rFonts w:eastAsia="仿宋_GB2312"/>
                <w:kern w:val="0"/>
                <w:sz w:val="24"/>
                <w:szCs w:val="24"/>
              </w:rPr>
            </w:pPr>
            <w:r>
              <w:rPr>
                <w:rFonts w:eastAsia="仿宋_GB2312"/>
                <w:kern w:val="0"/>
                <w:sz w:val="24"/>
                <w:szCs w:val="24"/>
              </w:rPr>
              <w:t>三级（黄色）</w:t>
            </w:r>
          </w:p>
        </w:tc>
        <w:tc>
          <w:tcPr>
            <w:tcW w:w="1363" w:type="dxa"/>
            <w:vAlign w:val="center"/>
          </w:tcPr>
          <w:p>
            <w:pPr>
              <w:jc w:val="center"/>
              <w:rPr>
                <w:rFonts w:eastAsia="仿宋_GB2312"/>
                <w:kern w:val="0"/>
                <w:sz w:val="24"/>
                <w:szCs w:val="24"/>
              </w:rPr>
            </w:pPr>
            <w:r>
              <w:rPr>
                <w:rFonts w:eastAsia="仿宋_GB2312"/>
                <w:kern w:val="0"/>
                <w:sz w:val="24"/>
                <w:szCs w:val="24"/>
              </w:rPr>
              <w:t>≥50</w:t>
            </w:r>
          </w:p>
        </w:tc>
        <w:tc>
          <w:tcPr>
            <w:tcW w:w="1437" w:type="dxa"/>
            <w:vAlign w:val="center"/>
          </w:tcPr>
          <w:p>
            <w:pPr>
              <w:jc w:val="center"/>
              <w:rPr>
                <w:rFonts w:eastAsia="仿宋_GB2312"/>
                <w:kern w:val="0"/>
                <w:sz w:val="24"/>
                <w:szCs w:val="24"/>
              </w:rPr>
            </w:pPr>
            <w:r>
              <w:rPr>
                <w:rFonts w:eastAsia="仿宋_GB2312"/>
                <w:kern w:val="0"/>
                <w:sz w:val="24"/>
                <w:szCs w:val="24"/>
              </w:rPr>
              <w:t>≥60</w:t>
            </w:r>
          </w:p>
        </w:tc>
        <w:tc>
          <w:tcPr>
            <w:tcW w:w="1263" w:type="dxa"/>
            <w:vAlign w:val="center"/>
          </w:tcPr>
          <w:p>
            <w:pPr>
              <w:jc w:val="center"/>
              <w:rPr>
                <w:rFonts w:eastAsia="仿宋_GB2312"/>
                <w:kern w:val="0"/>
                <w:sz w:val="24"/>
                <w:szCs w:val="24"/>
              </w:rPr>
            </w:pPr>
            <w:r>
              <w:rPr>
                <w:rFonts w:eastAsia="仿宋_GB2312"/>
                <w:kern w:val="0"/>
                <w:sz w:val="24"/>
                <w:szCs w:val="24"/>
              </w:rPr>
              <w:t>≥70</w:t>
            </w:r>
          </w:p>
        </w:tc>
        <w:tc>
          <w:tcPr>
            <w:tcW w:w="1300" w:type="dxa"/>
            <w:vAlign w:val="center"/>
          </w:tcPr>
          <w:p>
            <w:pPr>
              <w:jc w:val="center"/>
              <w:rPr>
                <w:rFonts w:eastAsia="仿宋_GB2312"/>
                <w:kern w:val="0"/>
                <w:sz w:val="24"/>
                <w:szCs w:val="24"/>
              </w:rPr>
            </w:pPr>
            <w:r>
              <w:rPr>
                <w:rFonts w:eastAsia="仿宋_GB2312"/>
                <w:kern w:val="0"/>
                <w:sz w:val="24"/>
                <w:szCs w:val="24"/>
              </w:rPr>
              <w:t>≥120</w:t>
            </w:r>
          </w:p>
        </w:tc>
        <w:tc>
          <w:tcPr>
            <w:tcW w:w="1337" w:type="dxa"/>
            <w:vAlign w:val="center"/>
          </w:tcPr>
          <w:p>
            <w:pPr>
              <w:jc w:val="center"/>
              <w:rPr>
                <w:rFonts w:eastAsia="仿宋_GB2312"/>
                <w:kern w:val="0"/>
                <w:sz w:val="24"/>
                <w:szCs w:val="24"/>
              </w:rPr>
            </w:pPr>
            <w:r>
              <w:rPr>
                <w:rFonts w:eastAsia="仿宋_GB2312"/>
                <w:kern w:val="0"/>
                <w:sz w:val="24"/>
                <w:szCs w:val="24"/>
              </w:rPr>
              <w:t>提高警戒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17" w:type="dxa"/>
            <w:vAlign w:val="center"/>
          </w:tcPr>
          <w:p>
            <w:pPr>
              <w:jc w:val="center"/>
              <w:rPr>
                <w:rFonts w:eastAsia="仿宋_GB2312"/>
                <w:kern w:val="0"/>
                <w:sz w:val="24"/>
                <w:szCs w:val="24"/>
              </w:rPr>
            </w:pPr>
            <w:r>
              <w:rPr>
                <w:rFonts w:eastAsia="仿宋_GB2312"/>
                <w:kern w:val="0"/>
                <w:sz w:val="24"/>
                <w:szCs w:val="24"/>
              </w:rPr>
              <w:t>二级（橙色）</w:t>
            </w:r>
          </w:p>
        </w:tc>
        <w:tc>
          <w:tcPr>
            <w:tcW w:w="1363" w:type="dxa"/>
            <w:vAlign w:val="center"/>
          </w:tcPr>
          <w:p>
            <w:pPr>
              <w:jc w:val="center"/>
              <w:rPr>
                <w:rFonts w:eastAsia="仿宋_GB2312"/>
                <w:kern w:val="0"/>
                <w:sz w:val="24"/>
                <w:szCs w:val="24"/>
              </w:rPr>
            </w:pPr>
            <w:r>
              <w:rPr>
                <w:rFonts w:eastAsia="仿宋_GB2312"/>
                <w:kern w:val="0"/>
                <w:sz w:val="24"/>
                <w:szCs w:val="24"/>
              </w:rPr>
              <w:t>≥70</w:t>
            </w:r>
          </w:p>
        </w:tc>
        <w:tc>
          <w:tcPr>
            <w:tcW w:w="1437" w:type="dxa"/>
            <w:vAlign w:val="center"/>
          </w:tcPr>
          <w:p>
            <w:pPr>
              <w:jc w:val="center"/>
              <w:rPr>
                <w:rFonts w:eastAsia="仿宋_GB2312"/>
                <w:kern w:val="0"/>
                <w:sz w:val="24"/>
                <w:szCs w:val="24"/>
              </w:rPr>
            </w:pPr>
            <w:r>
              <w:rPr>
                <w:rFonts w:eastAsia="仿宋_GB2312"/>
                <w:kern w:val="0"/>
                <w:sz w:val="24"/>
                <w:szCs w:val="24"/>
              </w:rPr>
              <w:t>≥80</w:t>
            </w:r>
          </w:p>
        </w:tc>
        <w:tc>
          <w:tcPr>
            <w:tcW w:w="1263" w:type="dxa"/>
            <w:vAlign w:val="center"/>
          </w:tcPr>
          <w:p>
            <w:pPr>
              <w:jc w:val="center"/>
              <w:rPr>
                <w:rFonts w:eastAsia="仿宋_GB2312"/>
                <w:kern w:val="0"/>
                <w:sz w:val="24"/>
                <w:szCs w:val="24"/>
              </w:rPr>
            </w:pPr>
            <w:r>
              <w:rPr>
                <w:rFonts w:eastAsia="仿宋_GB2312"/>
                <w:kern w:val="0"/>
                <w:sz w:val="24"/>
                <w:szCs w:val="24"/>
              </w:rPr>
              <w:t>≥90</w:t>
            </w:r>
          </w:p>
        </w:tc>
        <w:tc>
          <w:tcPr>
            <w:tcW w:w="1300" w:type="dxa"/>
            <w:vAlign w:val="center"/>
          </w:tcPr>
          <w:p>
            <w:pPr>
              <w:jc w:val="center"/>
              <w:rPr>
                <w:rFonts w:eastAsia="仿宋_GB2312"/>
                <w:kern w:val="0"/>
                <w:sz w:val="24"/>
                <w:szCs w:val="24"/>
              </w:rPr>
            </w:pPr>
            <w:r>
              <w:rPr>
                <w:rFonts w:eastAsia="仿宋_GB2312"/>
                <w:kern w:val="0"/>
                <w:sz w:val="24"/>
                <w:szCs w:val="24"/>
              </w:rPr>
              <w:t>≥150</w:t>
            </w:r>
          </w:p>
        </w:tc>
        <w:tc>
          <w:tcPr>
            <w:tcW w:w="1337" w:type="dxa"/>
            <w:vAlign w:val="center"/>
          </w:tcPr>
          <w:p>
            <w:pPr>
              <w:jc w:val="center"/>
              <w:rPr>
                <w:rFonts w:eastAsia="仿宋_GB2312"/>
                <w:kern w:val="0"/>
                <w:sz w:val="24"/>
                <w:szCs w:val="24"/>
              </w:rPr>
            </w:pPr>
            <w:r>
              <w:rPr>
                <w:rFonts w:eastAsia="仿宋_GB2312"/>
                <w:kern w:val="0"/>
                <w:sz w:val="24"/>
                <w:szCs w:val="24"/>
              </w:rPr>
              <w:t>准备转移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17" w:type="dxa"/>
            <w:vAlign w:val="center"/>
          </w:tcPr>
          <w:p>
            <w:pPr>
              <w:jc w:val="center"/>
              <w:rPr>
                <w:rFonts w:eastAsia="仿宋_GB2312"/>
                <w:kern w:val="0"/>
                <w:sz w:val="24"/>
                <w:szCs w:val="24"/>
              </w:rPr>
            </w:pPr>
            <w:r>
              <w:rPr>
                <w:rFonts w:eastAsia="仿宋_GB2312"/>
                <w:kern w:val="0"/>
                <w:sz w:val="24"/>
                <w:szCs w:val="24"/>
              </w:rPr>
              <w:t>一级（红色）</w:t>
            </w:r>
          </w:p>
        </w:tc>
        <w:tc>
          <w:tcPr>
            <w:tcW w:w="1363" w:type="dxa"/>
            <w:vAlign w:val="center"/>
          </w:tcPr>
          <w:p>
            <w:pPr>
              <w:jc w:val="center"/>
              <w:rPr>
                <w:rFonts w:eastAsia="仿宋_GB2312"/>
                <w:kern w:val="0"/>
                <w:sz w:val="24"/>
                <w:szCs w:val="24"/>
              </w:rPr>
            </w:pPr>
            <w:r>
              <w:rPr>
                <w:rFonts w:eastAsia="仿宋_GB2312"/>
                <w:kern w:val="0"/>
                <w:sz w:val="24"/>
                <w:szCs w:val="24"/>
              </w:rPr>
              <w:t>≥90</w:t>
            </w:r>
          </w:p>
        </w:tc>
        <w:tc>
          <w:tcPr>
            <w:tcW w:w="1437" w:type="dxa"/>
            <w:vAlign w:val="center"/>
          </w:tcPr>
          <w:p>
            <w:pPr>
              <w:jc w:val="center"/>
              <w:rPr>
                <w:rFonts w:eastAsia="仿宋_GB2312"/>
                <w:kern w:val="0"/>
                <w:sz w:val="24"/>
                <w:szCs w:val="24"/>
              </w:rPr>
            </w:pPr>
            <w:r>
              <w:rPr>
                <w:rFonts w:eastAsia="仿宋_GB2312"/>
                <w:kern w:val="0"/>
                <w:sz w:val="24"/>
                <w:szCs w:val="24"/>
              </w:rPr>
              <w:t>≥100</w:t>
            </w:r>
          </w:p>
        </w:tc>
        <w:tc>
          <w:tcPr>
            <w:tcW w:w="1263" w:type="dxa"/>
            <w:vAlign w:val="center"/>
          </w:tcPr>
          <w:p>
            <w:pPr>
              <w:jc w:val="center"/>
              <w:rPr>
                <w:rFonts w:eastAsia="仿宋_GB2312"/>
                <w:kern w:val="0"/>
                <w:sz w:val="24"/>
                <w:szCs w:val="24"/>
              </w:rPr>
            </w:pPr>
            <w:r>
              <w:rPr>
                <w:rFonts w:eastAsia="仿宋_GB2312"/>
                <w:kern w:val="0"/>
                <w:sz w:val="24"/>
                <w:szCs w:val="24"/>
              </w:rPr>
              <w:t>≥110</w:t>
            </w:r>
          </w:p>
        </w:tc>
        <w:tc>
          <w:tcPr>
            <w:tcW w:w="1300" w:type="dxa"/>
            <w:vAlign w:val="center"/>
          </w:tcPr>
          <w:p>
            <w:pPr>
              <w:jc w:val="center"/>
              <w:rPr>
                <w:rFonts w:eastAsia="仿宋_GB2312"/>
                <w:kern w:val="0"/>
                <w:sz w:val="24"/>
                <w:szCs w:val="24"/>
              </w:rPr>
            </w:pPr>
            <w:r>
              <w:rPr>
                <w:rFonts w:eastAsia="仿宋_GB2312"/>
                <w:kern w:val="0"/>
                <w:sz w:val="24"/>
                <w:szCs w:val="24"/>
              </w:rPr>
              <w:t>≥190</w:t>
            </w:r>
          </w:p>
        </w:tc>
        <w:tc>
          <w:tcPr>
            <w:tcW w:w="1337" w:type="dxa"/>
            <w:vAlign w:val="center"/>
          </w:tcPr>
          <w:p>
            <w:pPr>
              <w:jc w:val="center"/>
              <w:rPr>
                <w:rFonts w:eastAsia="仿宋_GB2312"/>
                <w:kern w:val="0"/>
                <w:sz w:val="24"/>
                <w:szCs w:val="24"/>
              </w:rPr>
            </w:pPr>
            <w:r>
              <w:rPr>
                <w:rFonts w:eastAsia="仿宋_GB2312"/>
                <w:kern w:val="0"/>
                <w:sz w:val="24"/>
                <w:szCs w:val="24"/>
              </w:rPr>
              <w:t>立即转移</w:t>
            </w:r>
          </w:p>
        </w:tc>
      </w:tr>
    </w:tbl>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宋体" w:hAnsi="宋体" w:eastAsia="宋体" w:cs="宋体"/>
          <w:sz w:val="28"/>
          <w:szCs w:val="28"/>
        </w:rPr>
      </w:pPr>
      <w:r>
        <w:rPr>
          <w:rFonts w:hint="eastAsia" w:ascii="宋体" w:hAnsi="宋体" w:eastAsia="宋体" w:cs="宋体"/>
          <w:sz w:val="28"/>
          <w:szCs w:val="28"/>
        </w:rPr>
        <w:t>成灾水位（流量）的确定根据历史山洪灾害发生时溪河水位变化情况，确定本地区可能发生山洪灾害的溪河水位值；有的河流可将上游水情变化作为判断是否对下游造成山洪灾害的主要依据。</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宋体" w:hAnsi="宋体" w:eastAsia="宋体" w:cs="宋体"/>
          <w:sz w:val="28"/>
          <w:szCs w:val="28"/>
        </w:rPr>
      </w:pPr>
      <w:r>
        <w:rPr>
          <w:rFonts w:hint="eastAsia" w:ascii="宋体" w:hAnsi="宋体" w:eastAsia="宋体" w:cs="宋体"/>
          <w:sz w:val="28"/>
          <w:szCs w:val="28"/>
        </w:rPr>
        <w:t>2、预警等级划分原则</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宋体" w:hAnsi="宋体" w:eastAsia="宋体" w:cs="宋体"/>
          <w:sz w:val="28"/>
          <w:szCs w:val="28"/>
        </w:rPr>
      </w:pPr>
      <w:r>
        <w:rPr>
          <w:rFonts w:hint="eastAsia" w:ascii="宋体" w:hAnsi="宋体" w:eastAsia="宋体" w:cs="宋体"/>
          <w:sz w:val="28"/>
          <w:szCs w:val="28"/>
        </w:rPr>
        <w:t>山洪灾害预警等级分为三级（Ⅲ、Ⅱ、Ⅰ），按照发生山洪灾害的可能性、严重性和紧急程度，对应颜色依次为黄色、橙色、红色，三种颜色预警信号分别代表可能（暴雨气象预报）、严重（警戒雨量或警戒水位）、特别严重（危险雨量、危险水位或有泥石流、滑坡征兆）。</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宋体" w:hAnsi="宋体" w:eastAsia="宋体" w:cs="宋体"/>
          <w:sz w:val="28"/>
          <w:szCs w:val="28"/>
        </w:rPr>
      </w:pPr>
      <w:r>
        <w:rPr>
          <w:rFonts w:hint="eastAsia" w:ascii="宋体" w:hAnsi="宋体" w:eastAsia="宋体" w:cs="宋体"/>
          <w:sz w:val="28"/>
          <w:szCs w:val="28"/>
        </w:rPr>
        <w:t>3、预警启用时机</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宋体" w:hAnsi="宋体" w:eastAsia="宋体" w:cs="宋体"/>
          <w:sz w:val="28"/>
          <w:szCs w:val="28"/>
        </w:rPr>
      </w:pPr>
      <w:r>
        <w:rPr>
          <w:rFonts w:hint="eastAsia" w:ascii="宋体" w:hAnsi="宋体" w:eastAsia="宋体" w:cs="宋体"/>
          <w:sz w:val="28"/>
          <w:szCs w:val="28"/>
        </w:rPr>
        <w:t>（1）当接到暴雨天气预报，相关行政责任人应引起重视，并发布暴雨预警信息。当降雨量达到相应等级雨量值时，降雨仍在持续，应发布预警信息；</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宋体" w:hAnsi="宋体" w:eastAsia="宋体" w:cs="宋体"/>
          <w:sz w:val="28"/>
          <w:szCs w:val="28"/>
        </w:rPr>
      </w:pPr>
      <w:r>
        <w:rPr>
          <w:rFonts w:hint="eastAsia" w:ascii="宋体" w:hAnsi="宋体" w:eastAsia="宋体" w:cs="宋体"/>
          <w:sz w:val="28"/>
          <w:szCs w:val="28"/>
        </w:rPr>
        <w:t>（2）当水位达到相应等级值，且仍在上涨，应发布预警信息。若可能对下游造成山洪灾害，应向下游发布预警信息；</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宋体" w:hAnsi="宋体" w:eastAsia="宋体" w:cs="宋体"/>
          <w:sz w:val="28"/>
          <w:szCs w:val="28"/>
        </w:rPr>
      </w:pPr>
      <w:r>
        <w:rPr>
          <w:rFonts w:hint="eastAsia" w:ascii="宋体" w:hAnsi="宋体" w:eastAsia="宋体" w:cs="宋体"/>
          <w:sz w:val="28"/>
          <w:szCs w:val="28"/>
        </w:rPr>
        <w:t>（3）当出现发生泥石流、滑坡的征兆时，应发布泥石流、滑坡灾害预警信息。</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宋体" w:hAnsi="宋体" w:eastAsia="宋体" w:cs="宋体"/>
          <w:sz w:val="28"/>
          <w:szCs w:val="28"/>
        </w:rPr>
      </w:pPr>
      <w:r>
        <w:rPr>
          <w:rFonts w:hint="eastAsia" w:ascii="宋体" w:hAnsi="宋体" w:eastAsia="宋体" w:cs="宋体"/>
          <w:sz w:val="28"/>
          <w:szCs w:val="28"/>
        </w:rPr>
        <w:t>（4）水库及塘堰坝出现重大险情时应立即发布预警信息。</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宋体" w:hAnsi="宋体" w:eastAsia="宋体" w:cs="宋体"/>
          <w:sz w:val="28"/>
          <w:szCs w:val="28"/>
        </w:rPr>
      </w:pPr>
      <w:r>
        <w:rPr>
          <w:rFonts w:hint="eastAsia" w:ascii="宋体" w:hAnsi="宋体" w:eastAsia="宋体" w:cs="宋体"/>
          <w:sz w:val="28"/>
          <w:szCs w:val="28"/>
        </w:rPr>
        <w:t>4、预警发布及程序</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宋体" w:hAnsi="宋体" w:eastAsia="宋体" w:cs="宋体"/>
          <w:sz w:val="28"/>
          <w:szCs w:val="28"/>
        </w:rPr>
      </w:pPr>
      <w:r>
        <w:rPr>
          <w:rFonts w:hint="eastAsia" w:ascii="宋体" w:hAnsi="宋体" w:eastAsia="宋体" w:cs="宋体"/>
          <w:sz w:val="28"/>
          <w:szCs w:val="28"/>
        </w:rPr>
        <w:t>根据监测、预报，按照预警等级及时发布预警。</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宋体" w:hAnsi="宋体" w:eastAsia="宋体" w:cs="宋体"/>
          <w:sz w:val="28"/>
          <w:szCs w:val="28"/>
        </w:rPr>
      </w:pPr>
      <w:r>
        <w:rPr>
          <w:rFonts w:hint="eastAsia" w:ascii="宋体" w:hAnsi="宋体" w:eastAsia="宋体" w:cs="宋体"/>
          <w:sz w:val="28"/>
          <w:szCs w:val="28"/>
        </w:rPr>
        <w:t>（1）在一般情况下，可按照县→乡（镇）→村→组→户的次序进行预警（如图1）。</w:t>
      </w:r>
    </w:p>
    <w:p>
      <w:pPr>
        <w:jc w:val="left"/>
        <w:rPr>
          <w:rFonts w:eastAsia="仿宋_GB2312"/>
          <w:sz w:val="28"/>
          <w:szCs w:val="28"/>
        </w:rPr>
      </w:pPr>
      <w:r>
        <w:drawing>
          <wp:inline distT="0" distB="0" distL="0" distR="0">
            <wp:extent cx="5504815" cy="2857500"/>
            <wp:effectExtent l="0" t="0" r="635" b="0"/>
            <wp:docPr id="12879442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44229" name="图片 1"/>
                    <pic:cNvPicPr>
                      <a:picLocks noChangeAspect="1"/>
                    </pic:cNvPicPr>
                  </pic:nvPicPr>
                  <pic:blipFill>
                    <a:blip r:embed="rId4"/>
                    <a:stretch>
                      <a:fillRect/>
                    </a:stretch>
                  </pic:blipFill>
                  <pic:spPr>
                    <a:xfrm>
                      <a:off x="0" y="0"/>
                      <a:ext cx="5504815" cy="2857500"/>
                    </a:xfrm>
                    <a:prstGeom prst="rect">
                      <a:avLst/>
                    </a:prstGeom>
                  </pic:spPr>
                </pic:pic>
              </a:graphicData>
            </a:graphic>
          </wp:inline>
        </w:drawing>
      </w:r>
    </w:p>
    <w:p>
      <w:pPr>
        <w:spacing w:line="560" w:lineRule="exact"/>
        <w:ind w:firstLine="560"/>
        <w:rPr>
          <w:rFonts w:ascii="宋体" w:hAnsi="宋体" w:cs="宋体"/>
          <w:sz w:val="28"/>
          <w:szCs w:val="28"/>
        </w:rPr>
      </w:pPr>
      <w:r>
        <w:rPr>
          <w:rFonts w:hint="eastAsia" w:ascii="宋体" w:hAnsi="宋体" w:cs="宋体"/>
          <w:sz w:val="28"/>
          <w:szCs w:val="28"/>
        </w:rPr>
        <w:t>（2）如遇紧急情况（水库、塘堰坝出现重大险情，滑坡等），可采用快速灵活的预警方式进行预警（如图2）。</w:t>
      </w:r>
    </w:p>
    <w:p>
      <w:pPr>
        <w:jc w:val="left"/>
        <w:rPr>
          <w:rFonts w:eastAsia="仿宋_GB2312"/>
          <w:sz w:val="28"/>
          <w:szCs w:val="28"/>
        </w:rPr>
      </w:pPr>
      <w:r>
        <w:drawing>
          <wp:inline distT="0" distB="0" distL="0" distR="0">
            <wp:extent cx="5504815" cy="3832860"/>
            <wp:effectExtent l="0" t="0" r="635" b="15240"/>
            <wp:docPr id="10748030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03060" name="图片 1"/>
                    <pic:cNvPicPr>
                      <a:picLocks noChangeAspect="1"/>
                    </pic:cNvPicPr>
                  </pic:nvPicPr>
                  <pic:blipFill>
                    <a:blip r:embed="rId5"/>
                    <a:stretch>
                      <a:fillRect/>
                    </a:stretch>
                  </pic:blipFill>
                  <pic:spPr>
                    <a:xfrm>
                      <a:off x="0" y="0"/>
                      <a:ext cx="5504815" cy="3832860"/>
                    </a:xfrm>
                    <a:prstGeom prst="rect">
                      <a:avLst/>
                    </a:prstGeom>
                  </pic:spPr>
                </pic:pic>
              </a:graphicData>
            </a:graphic>
          </wp:inline>
        </w:drawing>
      </w:r>
    </w:p>
    <w:p>
      <w:pPr>
        <w:pStyle w:val="4"/>
        <w:pageBreakBefore w:val="0"/>
        <w:widowControl w:val="0"/>
        <w:kinsoku/>
        <w:wordWrap/>
        <w:overflowPunct/>
        <w:topLinePunct w:val="0"/>
        <w:autoSpaceDE/>
        <w:autoSpaceDN/>
        <w:bidi w:val="0"/>
        <w:adjustRightInd/>
        <w:snapToGrid/>
        <w:spacing w:line="520" w:lineRule="exact"/>
        <w:textAlignment w:val="auto"/>
      </w:pPr>
      <w:r>
        <w:rPr>
          <w:rFonts w:hint="eastAsia"/>
        </w:rPr>
        <w:t>预警、警报方式</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预警方式：(1)电话、手机短信预警；(2)广播电视预警；（3）口头通知。</w:t>
      </w:r>
    </w:p>
    <w:p>
      <w:pPr>
        <w:pageBreakBefore w:val="0"/>
        <w:widowControl w:val="0"/>
        <w:kinsoku/>
        <w:wordWrap/>
        <w:overflowPunct/>
        <w:topLinePunct w:val="0"/>
        <w:autoSpaceDE/>
        <w:autoSpaceDN/>
        <w:bidi w:val="0"/>
        <w:adjustRightInd/>
        <w:snapToGrid/>
        <w:spacing w:line="520" w:lineRule="exact"/>
        <w:ind w:firstLine="560"/>
        <w:textAlignment w:val="auto"/>
        <w:rPr>
          <w:rFonts w:eastAsia="仿宋_GB2312"/>
          <w:sz w:val="28"/>
          <w:szCs w:val="28"/>
        </w:rPr>
      </w:pPr>
      <w:r>
        <w:rPr>
          <w:rFonts w:hint="eastAsia" w:ascii="宋体" w:hAnsi="宋体" w:eastAsia="宋体" w:cs="宋体"/>
          <w:sz w:val="28"/>
          <w:szCs w:val="28"/>
        </w:rPr>
        <w:t>警报方式：(1) 无线语音广播报警； (2) 手摇报警器； (3) 铜锣报警；（4） 口头通知。</w:t>
      </w:r>
    </w:p>
    <w:p>
      <w:pPr>
        <w:pStyle w:val="4"/>
        <w:pageBreakBefore w:val="0"/>
        <w:widowControl w:val="0"/>
        <w:kinsoku/>
        <w:wordWrap/>
        <w:overflowPunct/>
        <w:topLinePunct w:val="0"/>
        <w:autoSpaceDE/>
        <w:autoSpaceDN/>
        <w:bidi w:val="0"/>
        <w:adjustRightInd/>
        <w:snapToGrid/>
        <w:spacing w:line="520" w:lineRule="exact"/>
        <w:textAlignment w:val="auto"/>
      </w:pPr>
      <w:r>
        <w:rPr>
          <w:rFonts w:hint="eastAsia"/>
        </w:rPr>
        <w:t>预警发布及响应</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1、接到防汛抗旱指挥部通知将有暴雨时发布三级(黄色)预警，同时启动三级应急响应。</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(1)县山洪灾害防御指挥部通过电话、传真、手机短信向有关乡镇发出三级(黄色)预警；</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(2)通过广播电视播放天气预报，并提醒广大群众注意做好山洪灾害防范准备。</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(3)当接到三级(黄色)预警后，各有关人员应迅速上岗到位，注意观察水雨情变化，并加强防范。</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2、当降雨量达到警戒雨量且降雨仍在持续时，或溪河水位达到警戒水位，发布二级(橙色)预警，同时启动二级应急响应。</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(1)县山洪灾害防御指挥部通过电话、传真、手机短信向有关乡镇发出二级(橙色)预警。</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(2)通过广播电视播放山洪灾害二级(橙色)预警信息，提醒广大群众注意防范山洪灾害，危险区人员做好转移准备。</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(3)通过手机短信向县山洪灾害防御指挥部指挥长及指挥部成员单位领导、各乡镇主要领导、县防指所属的监测组、信息组、转移组、调度组、保障组主要成员发布二级(橙色)预警，做好相关防范工作。</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(4)有关乡村在接到县防指发布的二级(橙色)预警后，通过无线语音广播、手摇报警器等向危险区群众发出二级(橙色)预警，提醒危险区人员注意防范，做好转移准备。</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3、当降雨量达到危险雨量且降雨仍在持续时，或溪河水位达到危险水位，或有泥石流、滑坡征兆时，发布一级(红色)预警，同时启动一级应急响应。</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(1)县山洪灾害防御指挥部通过电话、传真、手机短信向有关乡镇发出一级(红色)预警,要求有关乡镇立即全面行动，做好抢险救灾转移安置工作。</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(2)通过广播电视播放山洪灾害一级(红色)预警信息，要求危险区人员马上转移，有关群众严加防范山洪灾害，。</w:t>
      </w:r>
    </w:p>
    <w:p>
      <w:pPr>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(3)手机短信报警通知到县主要领导、县山洪灾害防御指挥部指挥长及指挥部成员单位领导、各乡镇主要领导、山洪灾害监测组、信息组、转移组、调度组、保障组主要成员、各行政村负责人，要求危险区人员立即按预定路线撤离至安全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E4CB4"/>
    <w:multiLevelType w:val="multilevel"/>
    <w:tmpl w:val="649E4CB4"/>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DE1NTZjMWQyZDQ1OGI2YzY1M2YzYTBiZjA1ZjQifQ=="/>
  </w:docVars>
  <w:rsids>
    <w:rsidRoot w:val="00000000"/>
    <w:rsid w:val="458C5F73"/>
    <w:rsid w:val="70C5701C"/>
    <w:rsid w:val="7D6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numPr>
        <w:ilvl w:val="0"/>
        <w:numId w:val="1"/>
      </w:numPr>
      <w:outlineLvl w:val="0"/>
    </w:pPr>
    <w:rPr>
      <w:rFonts w:eastAsia="仿宋_GB2312"/>
      <w:b/>
      <w:bCs/>
      <w:kern w:val="44"/>
      <w:sz w:val="44"/>
      <w:szCs w:val="44"/>
    </w:rPr>
  </w:style>
  <w:style w:type="paragraph" w:styleId="3">
    <w:name w:val="heading 2"/>
    <w:basedOn w:val="1"/>
    <w:next w:val="1"/>
    <w:unhideWhenUsed/>
    <w:qFormat/>
    <w:uiPriority w:val="9"/>
    <w:pPr>
      <w:keepNext/>
      <w:keepLines/>
      <w:numPr>
        <w:ilvl w:val="1"/>
        <w:numId w:val="1"/>
      </w:numPr>
      <w:ind w:left="578" w:hanging="578"/>
      <w:outlineLvl w:val="1"/>
    </w:pPr>
    <w:rPr>
      <w:rFonts w:eastAsia="仿宋_GB2312" w:asciiTheme="majorHAnsi" w:hAnsiTheme="majorHAnsi" w:cstheme="majorBidi"/>
      <w:b/>
      <w:bCs/>
      <w:sz w:val="32"/>
      <w:szCs w:val="32"/>
    </w:rPr>
  </w:style>
  <w:style w:type="paragraph" w:styleId="4">
    <w:name w:val="heading 3"/>
    <w:basedOn w:val="1"/>
    <w:next w:val="1"/>
    <w:unhideWhenUsed/>
    <w:qFormat/>
    <w:uiPriority w:val="9"/>
    <w:pPr>
      <w:keepNext/>
      <w:keepLines/>
      <w:numPr>
        <w:ilvl w:val="2"/>
        <w:numId w:val="1"/>
      </w:numPr>
      <w:ind w:left="0" w:firstLine="0"/>
      <w:outlineLvl w:val="2"/>
    </w:pPr>
    <w:rPr>
      <w:rFonts w:eastAsia="仿宋_GB2312"/>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rPr>
      <w:rFonts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2023-11-27T03:36:00Z</dcterms:created>
  <dc:creator>admin</dc:creator>
  <cp:lastModifiedBy>Administrator</cp:lastModifiedBy>
  <dcterms:modified xsi:type="dcterms:W3CDTF">2023-11-27T07:44:29Z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EE762EA1FEBE4DE2A652C1ABF9B34204_12</vt:lpwstr>
  </property>
</Properties>
</file>